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7690D91">
      <w:pPr>
        <w:rPr>
          <w:rFonts w:hint="default" w:ascii="方正黑体_GBK" w:hAnsi="方正黑体_GBK" w:eastAsia="方正黑体_GBK" w:cs="方正黑体_GBK"/>
          <w:b w:val="0"/>
          <w:bCs w:val="0"/>
          <w:sz w:val="32"/>
          <w:szCs w:val="40"/>
          <w:lang w:val="en-US" w:eastAsia="zh-CN"/>
        </w:rPr>
      </w:pPr>
      <w:bookmarkStart w:id="0" w:name="_GoBack"/>
      <w:bookmarkEnd w:id="0"/>
      <w:r>
        <w:rPr>
          <w:rFonts w:hint="eastAsia" w:ascii="方正黑体_GBK" w:hAnsi="方正黑体_GBK" w:eastAsia="方正黑体_GBK" w:cs="方正黑体_GBK"/>
          <w:b w:val="0"/>
          <w:bCs w:val="0"/>
          <w:sz w:val="32"/>
          <w:szCs w:val="40"/>
          <w:lang w:val="en-US" w:eastAsia="zh-CN"/>
        </w:rPr>
        <w:t>附件</w:t>
      </w:r>
    </w:p>
    <w:p w14:paraId="33684004">
      <w:pPr>
        <w:ind w:left="0" w:leftChars="0" w:firstLine="0" w:firstLineChars="0"/>
        <w:jc w:val="center"/>
        <w:rPr>
          <w:rFonts w:hint="eastAsia" w:ascii="方正小标宋_GBK" w:hAnsi="方正小标宋_GBK" w:eastAsia="方正小标宋_GBK" w:cs="方正小标宋_GBK"/>
          <w:i w:val="0"/>
          <w:iCs w:val="0"/>
          <w:color w:val="000000"/>
          <w:kern w:val="0"/>
          <w:sz w:val="44"/>
          <w:szCs w:val="44"/>
          <w:u w:val="none"/>
          <w:vertAlign w:val="baseline"/>
          <w:lang w:val="en-US" w:eastAsia="zh-CN" w:bidi="ar"/>
        </w:rPr>
      </w:pPr>
      <w:r>
        <w:rPr>
          <w:rFonts w:hint="eastAsia" w:ascii="方正小标宋_GBK" w:hAnsi="方正小标宋_GBK" w:eastAsia="方正小标宋_GBK" w:cs="方正小标宋_GBK"/>
          <w:i w:val="0"/>
          <w:iCs w:val="0"/>
          <w:color w:val="000000"/>
          <w:kern w:val="0"/>
          <w:sz w:val="44"/>
          <w:szCs w:val="44"/>
          <w:u w:val="none"/>
          <w:lang w:val="en-US" w:eastAsia="zh-CN" w:bidi="ar"/>
        </w:rPr>
        <w:t>2025年江阴市社会发展科技示范项目（医疗卫生技术攻关）拟立项项目</w:t>
      </w:r>
    </w:p>
    <w:tbl>
      <w:tblPr>
        <w:tblStyle w:val="4"/>
        <w:tblW w:w="4697"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6"/>
        <w:gridCol w:w="8699"/>
        <w:gridCol w:w="3900"/>
      </w:tblGrid>
      <w:tr w14:paraId="53C7226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atLeast"/>
          <w:jc w:val="center"/>
        </w:trPr>
        <w:tc>
          <w:tcPr>
            <w:tcW w:w="716" w:type="dxa"/>
            <w:tcBorders>
              <w:tl2br w:val="nil"/>
              <w:tr2bl w:val="nil"/>
            </w:tcBorders>
            <w:vAlign w:val="center"/>
          </w:tcPr>
          <w:p w14:paraId="36884C3B">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方正小标宋_GBK" w:hAnsi="方正小标宋_GBK" w:eastAsia="方正小标宋_GBK" w:cs="方正小标宋_GBK"/>
                <w:i w:val="0"/>
                <w:iCs w:val="0"/>
                <w:color w:val="000000"/>
                <w:kern w:val="0"/>
                <w:sz w:val="36"/>
                <w:szCs w:val="36"/>
                <w:u w:val="none"/>
                <w:vertAlign w:val="baseline"/>
                <w:lang w:val="en-US" w:eastAsia="zh-CN" w:bidi="ar"/>
              </w:rPr>
            </w:pPr>
            <w:r>
              <w:rPr>
                <w:rFonts w:hint="eastAsia" w:ascii="方正黑体_GBK" w:hAnsi="方正黑体_GBK" w:eastAsia="方正黑体_GBK" w:cs="方正黑体_GBK"/>
                <w:i w:val="0"/>
                <w:iCs w:val="0"/>
                <w:color w:val="000000"/>
                <w:kern w:val="0"/>
                <w:sz w:val="24"/>
                <w:szCs w:val="24"/>
                <w:u w:val="none"/>
                <w:lang w:val="en-US" w:eastAsia="zh-CN" w:bidi="ar"/>
              </w:rPr>
              <w:t>序号</w:t>
            </w:r>
          </w:p>
        </w:tc>
        <w:tc>
          <w:tcPr>
            <w:tcW w:w="8700" w:type="dxa"/>
            <w:tcBorders>
              <w:tl2br w:val="nil"/>
              <w:tr2bl w:val="nil"/>
            </w:tcBorders>
            <w:vAlign w:val="center"/>
          </w:tcPr>
          <w:p w14:paraId="7EAB0C7F">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方正小标宋_GBK" w:hAnsi="方正小标宋_GBK" w:eastAsia="方正小标宋_GBK" w:cs="方正小标宋_GBK"/>
                <w:i w:val="0"/>
                <w:iCs w:val="0"/>
                <w:color w:val="000000"/>
                <w:kern w:val="0"/>
                <w:sz w:val="36"/>
                <w:szCs w:val="36"/>
                <w:u w:val="none"/>
                <w:vertAlign w:val="baseline"/>
                <w:lang w:val="en-US" w:eastAsia="zh-CN" w:bidi="ar"/>
              </w:rPr>
            </w:pPr>
            <w:r>
              <w:rPr>
                <w:rFonts w:hint="eastAsia" w:ascii="方正黑体_GBK" w:hAnsi="方正黑体_GBK" w:eastAsia="方正黑体_GBK" w:cs="方正黑体_GBK"/>
                <w:i w:val="0"/>
                <w:iCs w:val="0"/>
                <w:color w:val="000000"/>
                <w:kern w:val="0"/>
                <w:sz w:val="24"/>
                <w:szCs w:val="24"/>
                <w:u w:val="none"/>
                <w:lang w:val="en-US" w:eastAsia="zh-CN" w:bidi="ar"/>
              </w:rPr>
              <w:t>项目名称</w:t>
            </w:r>
          </w:p>
        </w:tc>
        <w:tc>
          <w:tcPr>
            <w:tcW w:w="3900" w:type="dxa"/>
            <w:tcBorders>
              <w:tl2br w:val="nil"/>
              <w:tr2bl w:val="nil"/>
            </w:tcBorders>
            <w:vAlign w:val="center"/>
          </w:tcPr>
          <w:p w14:paraId="267FC886">
            <w:pPr>
              <w:keepNext w:val="0"/>
              <w:keepLines w:val="0"/>
              <w:pageBreakBefore w:val="0"/>
              <w:widowControl/>
              <w:suppressLineNumbers w:val="0"/>
              <w:kinsoku/>
              <w:wordWrap/>
              <w:overflowPunct/>
              <w:topLinePunct w:val="0"/>
              <w:autoSpaceDE/>
              <w:autoSpaceDN/>
              <w:bidi w:val="0"/>
              <w:adjustRightInd/>
              <w:snapToGrid w:val="0"/>
              <w:jc w:val="center"/>
              <w:textAlignment w:val="center"/>
              <w:rPr>
                <w:rFonts w:hint="eastAsia" w:ascii="方正黑体_GBK" w:hAnsi="方正黑体_GBK" w:eastAsia="方正黑体_GBK" w:cs="方正黑体_GBK"/>
                <w:i w:val="0"/>
                <w:iCs w:val="0"/>
                <w:color w:val="000000"/>
                <w:kern w:val="0"/>
                <w:sz w:val="24"/>
                <w:szCs w:val="24"/>
                <w:u w:val="none"/>
                <w:lang w:val="en-US" w:eastAsia="zh-CN" w:bidi="ar"/>
              </w:rPr>
            </w:pPr>
            <w:r>
              <w:rPr>
                <w:rFonts w:hint="eastAsia" w:ascii="方正黑体_GBK" w:hAnsi="方正黑体_GBK" w:eastAsia="方正黑体_GBK" w:cs="方正黑体_GBK"/>
                <w:i w:val="0"/>
                <w:iCs w:val="0"/>
                <w:color w:val="000000"/>
                <w:kern w:val="0"/>
                <w:sz w:val="24"/>
                <w:szCs w:val="24"/>
                <w:u w:val="none"/>
                <w:lang w:val="en-US" w:eastAsia="zh-CN" w:bidi="ar"/>
              </w:rPr>
              <w:t>申报单位</w:t>
            </w:r>
          </w:p>
        </w:tc>
      </w:tr>
      <w:tr w14:paraId="5312682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6" w:hRule="exact"/>
          <w:jc w:val="center"/>
        </w:trPr>
        <w:tc>
          <w:tcPr>
            <w:tcW w:w="716" w:type="dxa"/>
            <w:tcBorders>
              <w:tl2br w:val="nil"/>
              <w:tr2bl w:val="nil"/>
            </w:tcBorders>
            <w:vAlign w:val="center"/>
          </w:tcPr>
          <w:p w14:paraId="3EBDB325">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1</w:t>
            </w:r>
          </w:p>
        </w:tc>
        <w:tc>
          <w:tcPr>
            <w:tcW w:w="8700" w:type="dxa"/>
            <w:tcBorders>
              <w:tl2br w:val="nil"/>
              <w:tr2bl w:val="nil"/>
            </w:tcBorders>
            <w:vAlign w:val="center"/>
          </w:tcPr>
          <w:p w14:paraId="3165397C">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外剥内扎术联合痔区静脉丛电凝术治疗环状混合痔的临床疗效研究：一项前瞻性、随机、对照、优效性试验</w:t>
            </w:r>
          </w:p>
        </w:tc>
        <w:tc>
          <w:tcPr>
            <w:tcW w:w="3900" w:type="dxa"/>
            <w:tcBorders>
              <w:tl2br w:val="nil"/>
              <w:tr2bl w:val="nil"/>
            </w:tcBorders>
            <w:vAlign w:val="center"/>
          </w:tcPr>
          <w:p w14:paraId="09F0C29D">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江阴市利港医院</w:t>
            </w:r>
          </w:p>
        </w:tc>
      </w:tr>
      <w:tr w14:paraId="37D7183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36" w:hRule="exact"/>
          <w:jc w:val="center"/>
        </w:trPr>
        <w:tc>
          <w:tcPr>
            <w:tcW w:w="716" w:type="dxa"/>
            <w:tcBorders>
              <w:tl2br w:val="nil"/>
              <w:tr2bl w:val="nil"/>
            </w:tcBorders>
            <w:vAlign w:val="center"/>
          </w:tcPr>
          <w:p w14:paraId="3D7F0502">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2</w:t>
            </w:r>
          </w:p>
        </w:tc>
        <w:tc>
          <w:tcPr>
            <w:tcW w:w="8700" w:type="dxa"/>
            <w:tcBorders>
              <w:tl2br w:val="nil"/>
              <w:tr2bl w:val="nil"/>
            </w:tcBorders>
            <w:vAlign w:val="center"/>
          </w:tcPr>
          <w:p w14:paraId="05C19060">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巨噬细胞MRTF-A通过激活RhoA/Hippo/YAP通路驱动细胞外基质硬化进而促进视网膜下纤维化的机制研究</w:t>
            </w:r>
          </w:p>
        </w:tc>
        <w:tc>
          <w:tcPr>
            <w:tcW w:w="3900" w:type="dxa"/>
            <w:tcBorders>
              <w:tl2br w:val="nil"/>
              <w:tr2bl w:val="nil"/>
            </w:tcBorders>
            <w:vAlign w:val="center"/>
          </w:tcPr>
          <w:p w14:paraId="6ABEE11D">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vertAlign w:val="baseli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江阴市人民医院</w:t>
            </w:r>
          </w:p>
        </w:tc>
      </w:tr>
      <w:tr w14:paraId="067162B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7" w:hRule="exact"/>
          <w:jc w:val="center"/>
        </w:trPr>
        <w:tc>
          <w:tcPr>
            <w:tcW w:w="716" w:type="dxa"/>
            <w:tcBorders>
              <w:tl2br w:val="nil"/>
              <w:tr2bl w:val="nil"/>
            </w:tcBorders>
            <w:vAlign w:val="center"/>
          </w:tcPr>
          <w:p w14:paraId="4ED508A4">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default"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3</w:t>
            </w:r>
          </w:p>
        </w:tc>
        <w:tc>
          <w:tcPr>
            <w:tcW w:w="8700" w:type="dxa"/>
            <w:tcBorders>
              <w:tl2br w:val="nil"/>
              <w:tr2bl w:val="nil"/>
            </w:tcBorders>
            <w:vAlign w:val="center"/>
          </w:tcPr>
          <w:p w14:paraId="582F395B">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基于单细胞转录组学的养阴生肌散治疗皮肤损伤的机制研究</w:t>
            </w:r>
          </w:p>
        </w:tc>
        <w:tc>
          <w:tcPr>
            <w:tcW w:w="3900" w:type="dxa"/>
            <w:tcBorders>
              <w:tl2br w:val="nil"/>
              <w:tr2bl w:val="nil"/>
            </w:tcBorders>
            <w:vAlign w:val="center"/>
          </w:tcPr>
          <w:p w14:paraId="4724F6B8">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江阴市中医院</w:t>
            </w:r>
          </w:p>
        </w:tc>
      </w:tr>
      <w:tr w14:paraId="506E9E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9" w:hRule="exact"/>
          <w:jc w:val="center"/>
        </w:trPr>
        <w:tc>
          <w:tcPr>
            <w:tcW w:w="716" w:type="dxa"/>
            <w:tcBorders>
              <w:tl2br w:val="nil"/>
              <w:tr2bl w:val="nil"/>
            </w:tcBorders>
            <w:vAlign w:val="center"/>
          </w:tcPr>
          <w:p w14:paraId="2DC36BFB">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default"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4</w:t>
            </w:r>
          </w:p>
          <w:p w14:paraId="0BA0B897">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p>
        </w:tc>
        <w:tc>
          <w:tcPr>
            <w:tcW w:w="8700" w:type="dxa"/>
            <w:tcBorders>
              <w:tl2br w:val="nil"/>
              <w:tr2bl w:val="nil"/>
            </w:tcBorders>
            <w:vAlign w:val="center"/>
          </w:tcPr>
          <w:p w14:paraId="08D80F64">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江阴地区老年慢性阻塞性肺病患者衰弱现状调查及以运动营养为核心的综合干预效果验证</w:t>
            </w:r>
          </w:p>
        </w:tc>
        <w:tc>
          <w:tcPr>
            <w:tcW w:w="3900" w:type="dxa"/>
            <w:tcBorders>
              <w:tl2br w:val="nil"/>
              <w:tr2bl w:val="nil"/>
            </w:tcBorders>
            <w:vAlign w:val="center"/>
          </w:tcPr>
          <w:p w14:paraId="6746359D">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江阴市中医院</w:t>
            </w:r>
          </w:p>
        </w:tc>
      </w:tr>
      <w:tr w14:paraId="517361D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5E38BAF3">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default"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5</w:t>
            </w:r>
          </w:p>
        </w:tc>
        <w:tc>
          <w:tcPr>
            <w:tcW w:w="8700" w:type="dxa"/>
            <w:tcBorders>
              <w:tl2br w:val="nil"/>
              <w:tr2bl w:val="nil"/>
            </w:tcBorders>
            <w:vAlign w:val="center"/>
          </w:tcPr>
          <w:p w14:paraId="422336AF">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热毒宁靶向凋亡调控程序性死亡以缓解脓毒症炎症风暴的机制研究</w:t>
            </w:r>
          </w:p>
        </w:tc>
        <w:tc>
          <w:tcPr>
            <w:tcW w:w="3900" w:type="dxa"/>
            <w:tcBorders>
              <w:tl2br w:val="nil"/>
              <w:tr2bl w:val="nil"/>
            </w:tcBorders>
            <w:vAlign w:val="center"/>
          </w:tcPr>
          <w:p w14:paraId="25D6B782">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江阴市人民医院</w:t>
            </w:r>
          </w:p>
        </w:tc>
      </w:tr>
      <w:tr w14:paraId="6A97C1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26" w:hRule="exact"/>
          <w:jc w:val="center"/>
        </w:trPr>
        <w:tc>
          <w:tcPr>
            <w:tcW w:w="716" w:type="dxa"/>
            <w:tcBorders>
              <w:tl2br w:val="nil"/>
              <w:tr2bl w:val="nil"/>
            </w:tcBorders>
            <w:vAlign w:val="center"/>
          </w:tcPr>
          <w:p w14:paraId="50A7D03D">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default"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6</w:t>
            </w:r>
          </w:p>
        </w:tc>
        <w:tc>
          <w:tcPr>
            <w:tcW w:w="8700" w:type="dxa"/>
            <w:tcBorders>
              <w:tl2br w:val="nil"/>
              <w:tr2bl w:val="nil"/>
            </w:tcBorders>
            <w:vAlign w:val="center"/>
          </w:tcPr>
          <w:p w14:paraId="133E929A">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APOE等位基因在高血压脑出血后脑水肿程度中的差异研究</w:t>
            </w:r>
          </w:p>
        </w:tc>
        <w:tc>
          <w:tcPr>
            <w:tcW w:w="3900" w:type="dxa"/>
            <w:tcBorders>
              <w:tl2br w:val="nil"/>
              <w:tr2bl w:val="nil"/>
            </w:tcBorders>
            <w:vAlign w:val="center"/>
          </w:tcPr>
          <w:p w14:paraId="6AC98C7B">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江阴市中医院</w:t>
            </w:r>
          </w:p>
        </w:tc>
      </w:tr>
      <w:tr w14:paraId="40CCF75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88" w:hRule="exact"/>
          <w:jc w:val="center"/>
        </w:trPr>
        <w:tc>
          <w:tcPr>
            <w:tcW w:w="716" w:type="dxa"/>
            <w:tcBorders>
              <w:tl2br w:val="nil"/>
              <w:tr2bl w:val="nil"/>
            </w:tcBorders>
            <w:vAlign w:val="center"/>
          </w:tcPr>
          <w:p w14:paraId="6562D1CE">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default"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7</w:t>
            </w:r>
          </w:p>
        </w:tc>
        <w:tc>
          <w:tcPr>
            <w:tcW w:w="8700" w:type="dxa"/>
            <w:tcBorders>
              <w:tl2br w:val="nil"/>
              <w:tr2bl w:val="nil"/>
            </w:tcBorders>
            <w:vAlign w:val="center"/>
          </w:tcPr>
          <w:p w14:paraId="0CAE107D">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ERα–PAPSS2信号轴在胃癌发生发展及免疫微环境调控中的作用机制研究</w:t>
            </w:r>
          </w:p>
        </w:tc>
        <w:tc>
          <w:tcPr>
            <w:tcW w:w="3900" w:type="dxa"/>
            <w:tcBorders>
              <w:tl2br w:val="nil"/>
              <w:tr2bl w:val="nil"/>
            </w:tcBorders>
            <w:vAlign w:val="center"/>
          </w:tcPr>
          <w:p w14:paraId="4EECF446">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江阴市人民医院</w:t>
            </w:r>
          </w:p>
        </w:tc>
      </w:tr>
      <w:tr w14:paraId="6D46F96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exact"/>
          <w:jc w:val="center"/>
        </w:trPr>
        <w:tc>
          <w:tcPr>
            <w:tcW w:w="716" w:type="dxa"/>
            <w:tcBorders>
              <w:tl2br w:val="nil"/>
              <w:tr2bl w:val="nil"/>
            </w:tcBorders>
            <w:vAlign w:val="center"/>
          </w:tcPr>
          <w:p w14:paraId="6F6F02C7">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default"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8</w:t>
            </w:r>
          </w:p>
        </w:tc>
        <w:tc>
          <w:tcPr>
            <w:tcW w:w="8700" w:type="dxa"/>
            <w:tcBorders>
              <w:tl2br w:val="nil"/>
              <w:tr2bl w:val="nil"/>
            </w:tcBorders>
            <w:vAlign w:val="center"/>
          </w:tcPr>
          <w:p w14:paraId="2C46085D">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miR-145-5p通过Myc调控卵巢透明细胞癌顺铂耐药的分子机制研究</w:t>
            </w:r>
          </w:p>
        </w:tc>
        <w:tc>
          <w:tcPr>
            <w:tcW w:w="3900" w:type="dxa"/>
            <w:tcBorders>
              <w:tl2br w:val="nil"/>
              <w:tr2bl w:val="nil"/>
            </w:tcBorders>
            <w:vAlign w:val="center"/>
          </w:tcPr>
          <w:p w14:paraId="25DE7055">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江阴市人民医院</w:t>
            </w:r>
          </w:p>
        </w:tc>
      </w:tr>
      <w:tr w14:paraId="7ED8559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7" w:hRule="exact"/>
          <w:jc w:val="center"/>
        </w:trPr>
        <w:tc>
          <w:tcPr>
            <w:tcW w:w="716" w:type="dxa"/>
            <w:tcBorders>
              <w:tl2br w:val="nil"/>
              <w:tr2bl w:val="nil"/>
            </w:tcBorders>
            <w:vAlign w:val="center"/>
          </w:tcPr>
          <w:p w14:paraId="12E6A9A1">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default"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9</w:t>
            </w:r>
          </w:p>
        </w:tc>
        <w:tc>
          <w:tcPr>
            <w:tcW w:w="8700" w:type="dxa"/>
            <w:tcBorders>
              <w:tl2br w:val="nil"/>
              <w:tr2bl w:val="nil"/>
            </w:tcBorders>
            <w:vAlign w:val="center"/>
          </w:tcPr>
          <w:p w14:paraId="00798084">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柴胡皂甙d调控NF-κB/NLRP3通路干预细胞焦亡减轻肺纤维化的作用机制研究</w:t>
            </w:r>
          </w:p>
        </w:tc>
        <w:tc>
          <w:tcPr>
            <w:tcW w:w="3900" w:type="dxa"/>
            <w:tcBorders>
              <w:tl2br w:val="nil"/>
              <w:tr2bl w:val="nil"/>
            </w:tcBorders>
            <w:vAlign w:val="center"/>
          </w:tcPr>
          <w:p w14:paraId="16EB611E">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江阴市人民医院</w:t>
            </w:r>
          </w:p>
        </w:tc>
      </w:tr>
      <w:tr w14:paraId="4B3588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91" w:hRule="exact"/>
          <w:jc w:val="center"/>
        </w:trPr>
        <w:tc>
          <w:tcPr>
            <w:tcW w:w="716" w:type="dxa"/>
            <w:tcBorders>
              <w:tl2br w:val="nil"/>
              <w:tr2bl w:val="nil"/>
            </w:tcBorders>
            <w:vAlign w:val="center"/>
          </w:tcPr>
          <w:p w14:paraId="488EDF5D">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line="400" w:lineRule="exact"/>
              <w:jc w:val="center"/>
              <w:textAlignment w:val="center"/>
              <w:rPr>
                <w:rFonts w:hint="default" w:ascii="方正楷体_GBK" w:hAnsi="方正楷体_GBK" w:eastAsia="方正楷体_GBK" w:cs="方正楷体_GBK"/>
                <w:i w:val="0"/>
                <w:iCs w:val="0"/>
                <w:color w:val="000000"/>
                <w:kern w:val="0"/>
                <w:sz w:val="24"/>
                <w:szCs w:val="24"/>
                <w:u w:val="none"/>
                <w:lang w:val="en-US" w:eastAsia="zh-CN" w:bidi="ar"/>
              </w:rPr>
            </w:pPr>
            <w:r>
              <w:rPr>
                <w:rFonts w:hint="eastAsia" w:ascii="方正楷体_GBK" w:hAnsi="方正楷体_GBK" w:eastAsia="方正楷体_GBK" w:cs="方正楷体_GBK"/>
                <w:i w:val="0"/>
                <w:iCs w:val="0"/>
                <w:color w:val="000000"/>
                <w:kern w:val="0"/>
                <w:sz w:val="24"/>
                <w:szCs w:val="24"/>
                <w:u w:val="none"/>
                <w:lang w:val="en-US" w:eastAsia="zh-CN" w:bidi="ar"/>
              </w:rPr>
              <w:t>10</w:t>
            </w:r>
          </w:p>
        </w:tc>
        <w:tc>
          <w:tcPr>
            <w:tcW w:w="8700" w:type="dxa"/>
            <w:tcBorders>
              <w:tl2br w:val="nil"/>
              <w:tr2bl w:val="nil"/>
            </w:tcBorders>
            <w:vAlign w:val="center"/>
          </w:tcPr>
          <w:p w14:paraId="4E583CC2">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中药鼻腔冲洗液对鼻内镜术后鼻腔黏膜恢复的疗效观察</w:t>
            </w:r>
          </w:p>
        </w:tc>
        <w:tc>
          <w:tcPr>
            <w:tcW w:w="3900" w:type="dxa"/>
            <w:tcBorders>
              <w:tl2br w:val="nil"/>
              <w:tr2bl w:val="nil"/>
            </w:tcBorders>
            <w:vAlign w:val="center"/>
          </w:tcPr>
          <w:p w14:paraId="1D37AB81">
            <w:pPr>
              <w:keepNext w:val="0"/>
              <w:keepLines w:val="0"/>
              <w:pageBreakBefore w:val="0"/>
              <w:widowControl/>
              <w:suppressLineNumbers w:val="0"/>
              <w:kinsoku/>
              <w:wordWrap/>
              <w:overflowPunct/>
              <w:topLinePunct w:val="0"/>
              <w:autoSpaceDE/>
              <w:autoSpaceDN/>
              <w:bidi w:val="0"/>
              <w:adjustRightInd/>
              <w:snapToGrid w:val="0"/>
              <w:spacing w:before="63" w:beforeLines="20" w:after="63" w:afterLines="20"/>
              <w:jc w:val="center"/>
              <w:textAlignment w:val="center"/>
              <w:rPr>
                <w:rFonts w:hint="eastAsia" w:ascii="方正楷体_GBK" w:hAnsi="方正楷体_GBK" w:eastAsia="方正楷体_GBK" w:cs="方正楷体_GBK"/>
                <w:i w:val="0"/>
                <w:iCs w:val="0"/>
                <w:color w:val="000000"/>
                <w:kern w:val="0"/>
                <w:sz w:val="24"/>
                <w:szCs w:val="24"/>
                <w:u w:val="none"/>
                <w:lang w:val="en-US" w:eastAsia="zh-CN" w:bidi="ar"/>
              </w:rPr>
            </w:pPr>
            <w:r>
              <w:rPr>
                <w:rFonts w:hint="eastAsia" w:ascii="Times New Roman" w:hAnsi="Times New Roman" w:eastAsia="方正楷体_GBK" w:cs="Times New Roman"/>
                <w:i w:val="0"/>
                <w:iCs w:val="0"/>
                <w:color w:val="000000"/>
                <w:kern w:val="0"/>
                <w:sz w:val="24"/>
                <w:szCs w:val="24"/>
                <w:u w:val="none"/>
                <w:lang w:val="en-US" w:eastAsia="zh-CN" w:bidi="ar"/>
              </w:rPr>
              <w:t>江阴市中医院</w:t>
            </w:r>
          </w:p>
        </w:tc>
      </w:tr>
    </w:tbl>
    <w:p w14:paraId="741CE664">
      <w:pPr>
        <w:rPr>
          <w:rFonts w:hint="default" w:ascii="方正仿宋_GBK" w:hAnsi="Times New Roman" w:eastAsia="方正仿宋_GBK" w:cs="Times New Roman"/>
          <w:color w:val="000000" w:themeColor="text1"/>
          <w:kern w:val="0"/>
          <w:sz w:val="32"/>
          <w:szCs w:val="30"/>
          <w:lang w:val="en-US" w:eastAsia="zh-CN"/>
          <w14:textFill>
            <w14:solidFill>
              <w14:schemeClr w14:val="tx1"/>
            </w14:solidFill>
          </w14:textFill>
        </w:rPr>
      </w:pPr>
    </w:p>
    <w:sectPr>
      <w:pgSz w:w="16838" w:h="11906" w:orient="landscape"/>
      <w:pgMar w:top="1800" w:right="1440" w:bottom="1800" w:left="144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2MTlkMzU4ZDNiZTkzOTZjNWVhM2ZkOTRjM2VmNDQifQ=="/>
  </w:docVars>
  <w:rsids>
    <w:rsidRoot w:val="4A2B0000"/>
    <w:rsid w:val="071C0767"/>
    <w:rsid w:val="07707800"/>
    <w:rsid w:val="07DA6AB1"/>
    <w:rsid w:val="0ABE7223"/>
    <w:rsid w:val="0D6837C5"/>
    <w:rsid w:val="12926732"/>
    <w:rsid w:val="13996451"/>
    <w:rsid w:val="166B295D"/>
    <w:rsid w:val="16743195"/>
    <w:rsid w:val="173262EA"/>
    <w:rsid w:val="19937107"/>
    <w:rsid w:val="1AF220BF"/>
    <w:rsid w:val="1D7003DA"/>
    <w:rsid w:val="1ED87383"/>
    <w:rsid w:val="1F8E6C4C"/>
    <w:rsid w:val="217B2785"/>
    <w:rsid w:val="23C959D7"/>
    <w:rsid w:val="2669427B"/>
    <w:rsid w:val="26AC2078"/>
    <w:rsid w:val="2AA202CD"/>
    <w:rsid w:val="2D485B6F"/>
    <w:rsid w:val="312A24A8"/>
    <w:rsid w:val="392635CF"/>
    <w:rsid w:val="3A9A7355"/>
    <w:rsid w:val="3CEE0F90"/>
    <w:rsid w:val="3EA70758"/>
    <w:rsid w:val="3FD44F24"/>
    <w:rsid w:val="41C3704D"/>
    <w:rsid w:val="42D01E2D"/>
    <w:rsid w:val="4994032B"/>
    <w:rsid w:val="4A2B0000"/>
    <w:rsid w:val="4AFE13A1"/>
    <w:rsid w:val="4C784156"/>
    <w:rsid w:val="51917235"/>
    <w:rsid w:val="51EC0C13"/>
    <w:rsid w:val="56916A9B"/>
    <w:rsid w:val="56ED315F"/>
    <w:rsid w:val="575552A4"/>
    <w:rsid w:val="58361C65"/>
    <w:rsid w:val="58503B99"/>
    <w:rsid w:val="5B033704"/>
    <w:rsid w:val="5B6065F6"/>
    <w:rsid w:val="5C425CFC"/>
    <w:rsid w:val="5CC21B4D"/>
    <w:rsid w:val="5CC404DD"/>
    <w:rsid w:val="5E777ABF"/>
    <w:rsid w:val="5EB73925"/>
    <w:rsid w:val="63EB3499"/>
    <w:rsid w:val="64430D0B"/>
    <w:rsid w:val="661E20C0"/>
    <w:rsid w:val="67135656"/>
    <w:rsid w:val="68536E85"/>
    <w:rsid w:val="686236EF"/>
    <w:rsid w:val="68915BF6"/>
    <w:rsid w:val="6A18009C"/>
    <w:rsid w:val="6BF56868"/>
    <w:rsid w:val="6DF431B2"/>
    <w:rsid w:val="6F044A5F"/>
    <w:rsid w:val="723D59AA"/>
    <w:rsid w:val="745443C6"/>
    <w:rsid w:val="75D92815"/>
    <w:rsid w:val="78F52D2F"/>
    <w:rsid w:val="7ABA7F61"/>
    <w:rsid w:val="7B0D67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table" w:styleId="4">
    <w:name w:val="Table Grid"/>
    <w:basedOn w:val="3"/>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6">
    <w:name w:val="font11"/>
    <w:basedOn w:val="5"/>
    <w:qFormat/>
    <w:uiPriority w:val="0"/>
    <w:rPr>
      <w:rFonts w:hint="default" w:ascii="Times New Roman" w:hAnsi="Times New Roman" w:cs="Times New Roman"/>
      <w:color w:val="000000"/>
      <w:sz w:val="24"/>
      <w:szCs w:val="24"/>
      <w:u w:val="none"/>
    </w:rPr>
  </w:style>
  <w:style w:type="character" w:customStyle="1" w:styleId="7">
    <w:name w:val="font21"/>
    <w:basedOn w:val="5"/>
    <w:qFormat/>
    <w:uiPriority w:val="0"/>
    <w:rPr>
      <w:rFonts w:ascii="方正楷体_GBK" w:hAnsi="方正楷体_GBK" w:eastAsia="方正楷体_GBK" w:cs="方正楷体_GBK"/>
      <w:color w:val="000000"/>
      <w:sz w:val="24"/>
      <w:szCs w:val="24"/>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783</Words>
  <Characters>874</Characters>
  <Lines>0</Lines>
  <Paragraphs>0</Paragraphs>
  <TotalTime>9</TotalTime>
  <ScaleCrop>false</ScaleCrop>
  <LinksUpToDate>false</LinksUpToDate>
  <CharactersWithSpaces>888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2020-09-07T05:42:00Z</dcterms:created>
  <dc:creator>Administrator</dc:creator>
  <cp:lastModifiedBy>Mercury.</cp:lastModifiedBy>
  <cp:lastPrinted>2024-12-06T02:11:00Z</cp:lastPrinted>
  <dcterms:modified xsi:type="dcterms:W3CDTF">2025-11-10T09:21:45Z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0737044063AE40F59025E26A4E2FEBF5_13</vt:lpwstr>
  </property>
  <property fmtid="{D5CDD505-2E9C-101B-9397-08002B2CF9AE}" pid="4" name="KSOTemplateDocerSaveRecord">
    <vt:lpwstr>eyJoZGlkIjoiMDk0YmFhMjU0NjQzN2E4Mzk2NmRjMGNmMTcwMmZhODYiLCJ1c2VySWQiOiI4ODgxNjgxODYifQ==</vt:lpwstr>
  </property>
</Properties>
</file>